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FORMULÁRIO PRÊMIO EMPRESA CIDADÃ ESG ADVB/SC 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3.46456692913375" w:right="0" w:hanging="283.46456692913375"/>
        <w:jc w:val="center"/>
        <w:rPr>
          <w:rFonts w:ascii="Arial" w:cs="Arial" w:eastAsia="Arial" w:hAnsi="Arial"/>
          <w:b w:val="1"/>
          <w:sz w:val="32"/>
          <w:szCs w:val="3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CATEGORIA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GOVERNANÇA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1127"/>
        </w:tabs>
        <w:spacing w:line="256.7994545454545" w:lineRule="auto"/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leader="none" w:pos="1127"/>
              </w:tabs>
              <w:spacing w:after="0"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Empresa: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leader="none" w:pos="1127"/>
              </w:tabs>
              <w:spacing w:after="0"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Título do case: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leader="none" w:pos="1127"/>
              </w:tabs>
              <w:spacing w:after="0" w:line="276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Categoria Governança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Seguindo as instruções do regulamento, a candidata ao Prêmio Empresa Cidadã ESG ADVB/SC, deverá responder às seguintes questões na apresentação do seu case: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Observação: Não existe limite de caracteres no preenchimento dos dados.</w:t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1127"/>
        </w:tabs>
        <w:spacing w:line="256.7994545454545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Definição e relevância de projetos com aspecto de governança </w:t>
      </w:r>
      <w:r w:rsidDel="00000000" w:rsidR="00000000" w:rsidRPr="00000000">
        <w:rPr>
          <w:sz w:val="24"/>
          <w:szCs w:val="24"/>
          <w:rtl w:val="0"/>
        </w:rPr>
        <w:t xml:space="preserve">(Transparência, Equidade, Prestação de Contas, Responsabilidade Corporativa), </w:t>
      </w:r>
      <w:r w:rsidDel="00000000" w:rsidR="00000000" w:rsidRPr="00000000">
        <w:rPr>
          <w:b w:val="1"/>
          <w:sz w:val="26"/>
          <w:szCs w:val="26"/>
          <w:rtl w:val="0"/>
        </w:rPr>
        <w:t xml:space="preserve">focada na forma como a empresa é administrada e se a gestão atende aos interesses de todas as partes, como colaboradores, fornecedores, acionistas e clientes.</w:t>
      </w:r>
      <w:r w:rsidDel="00000000" w:rsidR="00000000" w:rsidRPr="00000000">
        <w:rPr>
          <w:rtl w:val="0"/>
        </w:rPr>
      </w:r>
    </w:p>
    <w:tbl>
      <w:tblPr>
        <w:tblStyle w:val="Table2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1127"/>
        </w:tabs>
        <w:spacing w:line="256.7994545454545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Impacto do projeto no desenvolvimento da governança. </w:t>
      </w:r>
      <w:r w:rsidDel="00000000" w:rsidR="00000000" w:rsidRPr="00000000">
        <w:rPr>
          <w:sz w:val="24"/>
          <w:szCs w:val="24"/>
          <w:rtl w:val="0"/>
        </w:rPr>
        <w:t xml:space="preserve">(Identificação, Integração, monitoramento e tratamento de riscos)</w:t>
      </w:r>
      <w:r w:rsidDel="00000000" w:rsidR="00000000" w:rsidRPr="00000000">
        <w:rPr>
          <w:rtl w:val="0"/>
        </w:rPr>
      </w:r>
    </w:p>
    <w:tbl>
      <w:tblPr>
        <w:tblStyle w:val="Table3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1127"/>
        </w:tabs>
        <w:spacing w:line="256.7994545454545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Inter Relação entre o projeto e as estratégias da empresa.</w:t>
      </w:r>
      <w:r w:rsidDel="00000000" w:rsidR="00000000" w:rsidRPr="00000000">
        <w:rPr>
          <w:rtl w:val="0"/>
        </w:rPr>
      </w:r>
    </w:p>
    <w:tbl>
      <w:tblPr>
        <w:tblStyle w:val="Table4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1127"/>
        </w:tabs>
        <w:spacing w:line="256.7994545454545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4. Envolvimento das partes interessadas.</w:t>
      </w:r>
    </w:p>
    <w:tbl>
      <w:tblPr>
        <w:tblStyle w:val="Table5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1127"/>
        </w:tabs>
        <w:spacing w:line="256.7994545454545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5.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Conformidade com os Dez Princípios do Pacto Global e os Objetivos de Desenvolvimento Sustentável da ONU.</w:t>
      </w:r>
      <w:r w:rsidDel="00000000" w:rsidR="00000000" w:rsidRPr="00000000">
        <w:rPr>
          <w:rtl w:val="0"/>
        </w:rPr>
      </w:r>
    </w:p>
    <w:tbl>
      <w:tblPr>
        <w:tblStyle w:val="Table6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tabs>
          <w:tab w:val="left" w:leader="none" w:pos="1127"/>
        </w:tabs>
        <w:spacing w:line="256.7994545454545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tabs>
          <w:tab w:val="left" w:leader="none" w:pos="1127"/>
        </w:tabs>
        <w:spacing w:line="256.7994545454545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6. Geração de resultados de governança.</w:t>
      </w:r>
    </w:p>
    <w:tbl>
      <w:tblPr>
        <w:tblStyle w:val="Table7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1127"/>
              </w:tabs>
              <w:spacing w:after="0" w:line="256.7994545454545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tabs>
          <w:tab w:val="left" w:leader="none" w:pos="1127"/>
        </w:tabs>
        <w:rPr>
          <w:b w:val="1"/>
          <w:sz w:val="26"/>
          <w:szCs w:val="26"/>
        </w:rPr>
      </w:pPr>
      <w:bookmarkStart w:colFirst="0" w:colLast="0" w:name="_heading=h.76j78rtw4mh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left" w:leader="none" w:pos="1127"/>
        </w:tabs>
        <w:rPr>
          <w:sz w:val="24"/>
          <w:szCs w:val="24"/>
        </w:rPr>
      </w:pPr>
      <w:bookmarkStart w:colFirst="0" w:colLast="0" w:name="_heading=h.i4phln79zf40" w:id="2"/>
      <w:bookmarkEnd w:id="2"/>
      <w:r w:rsidDel="00000000" w:rsidR="00000000" w:rsidRPr="00000000">
        <w:rPr>
          <w:sz w:val="24"/>
          <w:szCs w:val="24"/>
          <w:rtl w:val="0"/>
        </w:rPr>
        <w:t xml:space="preserve">Este arquivo após preenchido deve ser enviado pelo sistema de cadastro de case da ADVB/SC pelo link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www.advbsc.com.br/premio-esg/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993" w:top="2001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320"/>
        <w:tab w:val="right" w:leader="none" w:pos="8640"/>
      </w:tabs>
      <w:spacing w:after="0"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287425" cy="1046909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425" cy="10469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B4FEE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B1BD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B1BD7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1BD7"/>
  </w:style>
  <w:style w:type="paragraph" w:styleId="Footer">
    <w:name w:val="footer"/>
    <w:basedOn w:val="Normal"/>
    <w:link w:val="FooterChar"/>
    <w:uiPriority w:val="99"/>
    <w:unhideWhenUsed w:val="1"/>
    <w:rsid w:val="000B1BD7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1BD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B1BD7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B1BD7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dvbsc.com.br/premio-esg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xBvEKjcC0AsCjFakYf35KdZeA==">CgMxLjAyCGguZ2pkZ3hzMg5oLjc2ajc4cnR3NG1obzIOaC5pNHBobG43OXpmNDA4AHIhMTNkVC1KTWM0SnBNSWlnWmVCakZZOEdZZlpxc2hNa2FB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2021-04-08T02:42:00Z</dcterms:created>
  <dc:creator>Tais Biavatti</dc:creator>
</cp:coreProperties>
</file>